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773F7">
      <w:pPr>
        <w:spacing w:line="400" w:lineRule="exact"/>
        <w:jc w:val="center"/>
        <w:rPr>
          <w:rFonts w:ascii="仿宋_GB2312" w:hAnsi="仿宋" w:eastAsia="仿宋_GB2312" w:cs="Times New Roman"/>
          <w:b/>
          <w:bCs/>
          <w:sz w:val="32"/>
          <w:szCs w:val="32"/>
        </w:rPr>
      </w:pPr>
    </w:p>
    <w:p w14:paraId="5E2D441B">
      <w:pPr>
        <w:spacing w:line="860" w:lineRule="exact"/>
        <w:jc w:val="center"/>
        <w:rPr>
          <w:rFonts w:ascii="黑体" w:hAnsi="黑体" w:eastAsia="黑体" w:cs="仿宋_GB2312"/>
          <w:b/>
          <w:bCs/>
          <w:sz w:val="36"/>
          <w:szCs w:val="36"/>
        </w:rPr>
      </w:pPr>
      <w:r>
        <w:rPr>
          <w:rFonts w:hint="eastAsia" w:ascii="黑体" w:hAnsi="黑体" w:eastAsia="黑体" w:cs="仿宋_GB2312"/>
          <w:b/>
          <w:bCs/>
          <w:sz w:val="36"/>
          <w:szCs w:val="36"/>
        </w:rPr>
        <w:t>景德镇市政府驻北京联络处</w:t>
      </w:r>
      <w:r>
        <w:rPr>
          <w:rFonts w:ascii="黑体" w:hAnsi="黑体" w:eastAsia="黑体" w:cs="仿宋_GB2312"/>
          <w:b/>
          <w:bCs/>
          <w:sz w:val="36"/>
          <w:szCs w:val="36"/>
        </w:rPr>
        <w:t>201</w:t>
      </w:r>
      <w:r>
        <w:rPr>
          <w:rFonts w:hint="eastAsia" w:ascii="黑体" w:hAnsi="黑体" w:eastAsia="黑体" w:cs="仿宋_GB2312"/>
          <w:b/>
          <w:bCs/>
          <w:sz w:val="36"/>
          <w:szCs w:val="36"/>
        </w:rPr>
        <w:t>9年部门预算</w:t>
      </w:r>
    </w:p>
    <w:p w14:paraId="72EEBB5F">
      <w:pPr>
        <w:spacing w:line="860" w:lineRule="exact"/>
        <w:jc w:val="center"/>
        <w:rPr>
          <w:rFonts w:ascii="仿宋_GB2312" w:hAnsi="仿宋" w:eastAsia="仿宋_GB2312" w:cs="Times New Roman"/>
          <w:b/>
          <w:bCs/>
          <w:sz w:val="32"/>
          <w:szCs w:val="32"/>
        </w:rPr>
      </w:pPr>
    </w:p>
    <w:p w14:paraId="5EAC5546">
      <w:pPr>
        <w:ind w:firstLine="640" w:firstLineChars="200"/>
        <w:rPr>
          <w:rFonts w:ascii="黑体" w:hAnsi="宋体" w:eastAsia="黑体" w:cs="黑体"/>
          <w:sz w:val="32"/>
          <w:szCs w:val="32"/>
        </w:rPr>
      </w:pPr>
    </w:p>
    <w:p w14:paraId="17322DEE">
      <w:pPr>
        <w:rPr>
          <w:rFonts w:ascii="仿宋_GB2312" w:hAnsi="宋体" w:eastAsia="仿宋_GB2312" w:cs="仿宋_GB2312"/>
          <w:b/>
          <w:sz w:val="32"/>
          <w:szCs w:val="32"/>
        </w:rPr>
      </w:pPr>
      <w:r>
        <w:rPr>
          <w:rFonts w:hint="eastAsia" w:ascii="仿宋_GB2312" w:hAnsi="宋体" w:eastAsia="仿宋_GB2312" w:cs="仿宋_GB2312"/>
          <w:b/>
          <w:sz w:val="32"/>
          <w:szCs w:val="32"/>
        </w:rPr>
        <w:t xml:space="preserve">    一、部门主要职责</w:t>
      </w:r>
    </w:p>
    <w:p w14:paraId="2B749DBA">
      <w:pPr>
        <w:ind w:firstLine="420"/>
        <w:rPr>
          <w:rFonts w:ascii="Arial" w:hAnsi="Arial" w:cs="Arial"/>
          <w:color w:val="333333"/>
          <w:sz w:val="32"/>
          <w:szCs w:val="32"/>
          <w:shd w:val="clear" w:color="auto" w:fill="FFFFFF"/>
        </w:rPr>
      </w:pPr>
      <w:r>
        <w:rPr>
          <w:rFonts w:hint="eastAsia" w:ascii="Arial" w:hAnsi="Arial" w:cs="Arial"/>
          <w:color w:val="333333"/>
          <w:sz w:val="32"/>
          <w:szCs w:val="32"/>
          <w:shd w:val="clear" w:color="auto" w:fill="FFFFFF"/>
        </w:rPr>
        <w:t>（一）负责我市在北京的重大政务、经济、科技活动的联络、协调、服务等工作；为我市参加中央和全国重要会议做好后勤服务工作；负责与中央、国务院各部委及北京市有关部门的联系。</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二）为我市引进资金、技术、人才和先进管理经验，为发展与北京市的经济贸易、文化交流、旅游合作和北京市、区政府间的公共关系牵线搭桥并提供服务;开展多层次、多形式、全方位、宽领域的合作和交流。</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（三）发挥窗口作用，广泛宣传景德镇历史名胜古迹、悠久的陶瓷文化，宣传景德镇改革开放、经济建设取得的成绩，充分扩大景德镇在北京乃至国内外的影响和知名度。</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（四）发挥信息网络作用。建立中央有关部委和北京市有关部门经济信息库、景德镇市项目信息库、景德镇市地方名优产品信息库，为我市领导机关及其它有关单位科学决策提供信息参考和咨询服务。</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（五）负责与首都各界人士的联系，尤其是与景德镇籍和曾在景德镇工作过的老领导、老同志和中国科学院、北京名牌大学的有关院士、专家、学者的联系，争取他们对景德镇建设和发展的支持帮助。</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（六）协助我市有关部门和北京市有关部门做好景德镇市赴京上访人员的接待、遣返工作。</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（七）负责我市领导及离退休老同志来京的接待服务，为市直单位和其他部门赴京进行公务活动的人员提供方便。</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（八）承办市委、市政府交办的其他事项。</w:t>
      </w:r>
    </w:p>
    <w:p w14:paraId="1D8B232C">
      <w:pPr>
        <w:rPr>
          <w:rFonts w:ascii="宋体" w:hAnsi="宋体"/>
          <w:b/>
          <w:sz w:val="32"/>
          <w:szCs w:val="32"/>
        </w:rPr>
      </w:pPr>
      <w:r>
        <w:rPr>
          <w:rFonts w:hint="eastAsia" w:ascii="宋体" w:hAnsi="宋体"/>
          <w:b/>
          <w:sz w:val="32"/>
          <w:szCs w:val="32"/>
        </w:rPr>
        <w:t xml:space="preserve">    二、部门2019年主要工作任务</w:t>
      </w:r>
    </w:p>
    <w:p w14:paraId="3E10E03A">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hint="eastAsia" w:ascii="Arial" w:hAnsi="Arial" w:cs="Arial"/>
          <w:color w:val="333333"/>
          <w:sz w:val="32"/>
          <w:szCs w:val="32"/>
          <w:shd w:val="clear" w:color="auto" w:fill="FFFFFF"/>
        </w:rPr>
        <w:t>（一）</w:t>
      </w:r>
      <w:r>
        <w:rPr>
          <w:rFonts w:hint="eastAsia" w:ascii="微软雅黑" w:hAnsi="微软雅黑" w:eastAsia="微软雅黑"/>
          <w:color w:val="333333"/>
        </w:rPr>
        <w:t>建立与中央、国家有关部委以及北京省党政机关和企事业单位的联系；</w:t>
      </w:r>
    </w:p>
    <w:p w14:paraId="01FCA4BD">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ascii="Arial" w:hAnsi="Arial" w:cs="Arial"/>
          <w:color w:val="333333"/>
          <w:sz w:val="32"/>
          <w:szCs w:val="32"/>
          <w:shd w:val="clear" w:color="auto" w:fill="FFFFFF"/>
        </w:rPr>
        <w:t>（二）</w:t>
      </w:r>
      <w:r>
        <w:rPr>
          <w:rFonts w:hint="eastAsia" w:ascii="微软雅黑" w:hAnsi="微软雅黑" w:eastAsia="微软雅黑"/>
          <w:color w:val="333333"/>
        </w:rPr>
        <w:t>建立与有关省、省政府驻京机构的网络关系；</w:t>
      </w:r>
    </w:p>
    <w:p w14:paraId="0BFDE778">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ascii="Arial" w:hAnsi="Arial" w:cs="Arial"/>
          <w:color w:val="333333"/>
          <w:sz w:val="32"/>
          <w:szCs w:val="32"/>
          <w:shd w:val="clear" w:color="auto" w:fill="FFFFFF"/>
        </w:rPr>
        <w:t>（三）</w:t>
      </w:r>
      <w:r>
        <w:rPr>
          <w:rFonts w:hint="eastAsia" w:ascii="微软雅黑" w:hAnsi="微软雅黑" w:eastAsia="微软雅黑"/>
          <w:color w:val="333333"/>
        </w:rPr>
        <w:t>与中央级各新闻媒体保持经常性联系；</w:t>
      </w:r>
    </w:p>
    <w:p w14:paraId="43C671BE">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xml:space="preserve">  　</w:t>
      </w:r>
      <w:r>
        <w:rPr>
          <w:rFonts w:ascii="Arial" w:hAnsi="Arial" w:cs="Arial"/>
          <w:color w:val="333333"/>
          <w:sz w:val="32"/>
          <w:szCs w:val="32"/>
          <w:shd w:val="clear" w:color="auto" w:fill="FFFFFF"/>
        </w:rPr>
        <w:t>（四）</w:t>
      </w:r>
      <w:r>
        <w:rPr>
          <w:rFonts w:hint="eastAsia" w:ascii="微软雅黑" w:hAnsi="微软雅黑" w:eastAsia="微软雅黑"/>
          <w:color w:val="333333"/>
        </w:rPr>
        <w:t>与景德镇在京人士保持联络；</w:t>
      </w:r>
    </w:p>
    <w:p w14:paraId="19A77BE2">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ascii="Arial" w:hAnsi="Arial" w:cs="Arial"/>
          <w:color w:val="333333"/>
          <w:sz w:val="32"/>
          <w:szCs w:val="32"/>
          <w:shd w:val="clear" w:color="auto" w:fill="FFFFFF"/>
        </w:rPr>
        <w:t>（五）</w:t>
      </w:r>
      <w:r>
        <w:rPr>
          <w:rFonts w:hint="eastAsia" w:ascii="微软雅黑" w:hAnsi="微软雅黑" w:eastAsia="微软雅黑"/>
          <w:color w:val="333333"/>
        </w:rPr>
        <w:t>建立驻京网站，定期发送《北京信息》、《北京信息快报》，向市委、市政府及时传递信息；</w:t>
      </w:r>
    </w:p>
    <w:p w14:paraId="252D6711">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xml:space="preserve">　  </w:t>
      </w:r>
      <w:r>
        <w:rPr>
          <w:rFonts w:ascii="Arial" w:hAnsi="Arial" w:cs="Arial"/>
          <w:color w:val="333333"/>
          <w:sz w:val="32"/>
          <w:szCs w:val="32"/>
          <w:shd w:val="clear" w:color="auto" w:fill="FFFFFF"/>
        </w:rPr>
        <w:t>（六）</w:t>
      </w:r>
      <w:r>
        <w:rPr>
          <w:rFonts w:hint="eastAsia" w:ascii="微软雅黑" w:hAnsi="微软雅黑" w:eastAsia="微软雅黑"/>
          <w:color w:val="333333"/>
        </w:rPr>
        <w:t>为本市部门、单位到北京办理事务提供咨询、服务和后勤支援；</w:t>
      </w:r>
    </w:p>
    <w:p w14:paraId="00E1F2A3">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ascii="Arial" w:hAnsi="Arial" w:cs="Arial"/>
          <w:color w:val="333333"/>
          <w:sz w:val="32"/>
          <w:szCs w:val="32"/>
          <w:shd w:val="clear" w:color="auto" w:fill="FFFFFF"/>
        </w:rPr>
        <w:t>（七）</w:t>
      </w:r>
      <w:r>
        <w:rPr>
          <w:rFonts w:hint="eastAsia" w:ascii="微软雅黑" w:hAnsi="微软雅黑" w:eastAsia="微软雅黑"/>
          <w:color w:val="333333"/>
        </w:rPr>
        <w:t>为本市引进项目、资金、技术和人才搭桥；</w:t>
      </w:r>
    </w:p>
    <w:p w14:paraId="30E1282C">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ascii="Arial" w:hAnsi="Arial" w:cs="Arial"/>
          <w:color w:val="333333"/>
          <w:sz w:val="32"/>
          <w:szCs w:val="32"/>
          <w:shd w:val="clear" w:color="auto" w:fill="FFFFFF"/>
        </w:rPr>
        <w:t>（八）</w:t>
      </w:r>
      <w:r>
        <w:rPr>
          <w:rFonts w:hint="eastAsia" w:ascii="微软雅黑" w:hAnsi="微软雅黑" w:eastAsia="微软雅黑"/>
          <w:color w:val="333333"/>
        </w:rPr>
        <w:t>为本市所辖县、区在京设立的办事机构提供服务；</w:t>
      </w:r>
    </w:p>
    <w:p w14:paraId="50D08EB3">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xml:space="preserve">  　</w:t>
      </w:r>
      <w:r>
        <w:rPr>
          <w:rFonts w:hint="eastAsia" w:ascii="Arial" w:hAnsi="Arial" w:cs="Arial"/>
          <w:color w:val="333333"/>
          <w:sz w:val="32"/>
          <w:szCs w:val="32"/>
          <w:shd w:val="clear" w:color="auto" w:fill="FFFFFF"/>
        </w:rPr>
        <w:t>（九）</w:t>
      </w:r>
      <w:r>
        <w:rPr>
          <w:rFonts w:hint="eastAsia" w:ascii="微软雅黑" w:hAnsi="微软雅黑" w:eastAsia="微软雅黑"/>
          <w:color w:val="333333"/>
        </w:rPr>
        <w:t>为在京务工、经商的本省居民提供实务性协助；</w:t>
      </w:r>
    </w:p>
    <w:p w14:paraId="717DAC38">
      <w:pPr>
        <w:pStyle w:val="5"/>
        <w:spacing w:before="0" w:beforeAutospacing="0" w:after="0" w:afterAutospacing="0" w:line="450" w:lineRule="atLeast"/>
        <w:rPr>
          <w:rFonts w:ascii="微软雅黑" w:hAnsi="微软雅黑" w:eastAsia="微软雅黑"/>
          <w:color w:val="333333"/>
        </w:rPr>
      </w:pPr>
      <w:r>
        <w:rPr>
          <w:rFonts w:hint="eastAsia" w:ascii="微软雅黑" w:hAnsi="微软雅黑" w:eastAsia="微软雅黑"/>
          <w:color w:val="333333"/>
        </w:rPr>
        <w:t>　</w:t>
      </w:r>
      <w:r>
        <w:rPr>
          <w:rFonts w:hint="eastAsia" w:ascii="Arial" w:hAnsi="Arial" w:cs="Arial"/>
          <w:color w:val="333333"/>
          <w:sz w:val="32"/>
          <w:szCs w:val="32"/>
          <w:shd w:val="clear" w:color="auto" w:fill="FFFFFF"/>
        </w:rPr>
        <w:t xml:space="preserve">  （十）</w:t>
      </w:r>
      <w:r>
        <w:rPr>
          <w:rFonts w:hint="eastAsia" w:ascii="微软雅黑" w:hAnsi="微软雅黑" w:eastAsia="微软雅黑"/>
          <w:color w:val="333333"/>
        </w:rPr>
        <w:t>为前往景德镇公务、旅游、探亲的人士提供咨询和协助；</w:t>
      </w:r>
    </w:p>
    <w:p w14:paraId="0FF01256">
      <w:pPr>
        <w:pStyle w:val="5"/>
        <w:spacing w:before="0" w:beforeAutospacing="0" w:after="0" w:afterAutospacing="0" w:line="450" w:lineRule="atLeast"/>
        <w:rPr>
          <w:rFonts w:ascii="微软雅黑" w:hAnsi="微软雅黑" w:eastAsia="微软雅黑"/>
          <w:color w:val="333333"/>
        </w:rPr>
      </w:pPr>
      <w:r>
        <w:rPr>
          <w:rFonts w:hint="eastAsia" w:ascii="Arial" w:hAnsi="Arial" w:cs="Arial"/>
          <w:color w:val="333333"/>
          <w:sz w:val="32"/>
          <w:szCs w:val="32"/>
          <w:shd w:val="clear" w:color="auto" w:fill="FFFFFF"/>
        </w:rPr>
        <w:t>　 （十一）</w:t>
      </w:r>
      <w:r>
        <w:rPr>
          <w:rFonts w:hint="eastAsia" w:ascii="微软雅黑" w:hAnsi="微软雅黑" w:eastAsia="微软雅黑"/>
          <w:color w:val="333333"/>
        </w:rPr>
        <w:t>完成市委、市政府交办的其他工作。</w:t>
      </w:r>
    </w:p>
    <w:p w14:paraId="3C3D8945">
      <w:pPr>
        <w:ind w:firstLine="643" w:firstLineChars="200"/>
        <w:rPr>
          <w:rFonts w:ascii="宋体" w:hAnsi="宋体"/>
          <w:b/>
          <w:sz w:val="32"/>
          <w:szCs w:val="32"/>
        </w:rPr>
      </w:pPr>
      <w:r>
        <w:rPr>
          <w:rFonts w:hint="eastAsia" w:ascii="宋体" w:hAnsi="宋体"/>
          <w:b/>
          <w:sz w:val="32"/>
          <w:szCs w:val="32"/>
        </w:rPr>
        <w:t>三、部门基本情况</w:t>
      </w:r>
    </w:p>
    <w:p w14:paraId="73BEC5E8">
      <w:pPr>
        <w:ind w:firstLine="640" w:firstLineChars="200"/>
        <w:rPr>
          <w:rFonts w:ascii="宋体" w:hAnsi="宋体"/>
          <w:sz w:val="32"/>
          <w:szCs w:val="32"/>
        </w:rPr>
      </w:pPr>
      <w:r>
        <w:rPr>
          <w:rFonts w:hint="eastAsia" w:ascii="宋体" w:hAnsi="宋体"/>
          <w:sz w:val="32"/>
          <w:szCs w:val="32"/>
        </w:rPr>
        <w:t>纳入本套部门预算汇编范围的单位共1个。即景德镇市政府驻北京联络处。</w:t>
      </w:r>
    </w:p>
    <w:p w14:paraId="5EB7C1A4">
      <w:pPr>
        <w:rPr>
          <w:rFonts w:ascii="宋体" w:hAnsi="宋体"/>
          <w:sz w:val="32"/>
          <w:szCs w:val="32"/>
        </w:rPr>
      </w:pPr>
      <w:r>
        <w:rPr>
          <w:rFonts w:hint="eastAsia" w:ascii="宋体" w:hAnsi="宋体"/>
          <w:sz w:val="32"/>
          <w:szCs w:val="32"/>
        </w:rPr>
        <w:t xml:space="preserve">    编制人数：4人；实有人数：9人（其中行政在职人数2人，参照公务员管理的事业单位在职人数4人，全部补助事业在职人数1人）。</w:t>
      </w:r>
    </w:p>
    <w:p w14:paraId="3B4ADBBF">
      <w:pPr>
        <w:ind w:firstLine="630"/>
        <w:jc w:val="left"/>
        <w:rPr>
          <w:rFonts w:ascii="仿宋" w:hAnsi="仿宋" w:eastAsia="仿宋"/>
          <w:b/>
          <w:sz w:val="32"/>
          <w:szCs w:val="32"/>
        </w:rPr>
      </w:pPr>
      <w:r>
        <w:rPr>
          <w:rFonts w:hint="eastAsia" w:ascii="宋体" w:hAnsi="宋体"/>
          <w:b/>
          <w:sz w:val="32"/>
          <w:szCs w:val="32"/>
        </w:rPr>
        <w:t>四、2019年部门预算收支情况说明</w:t>
      </w:r>
    </w:p>
    <w:p w14:paraId="0BF42F48">
      <w:pPr>
        <w:rPr>
          <w:rFonts w:ascii="黑体" w:hAnsi="宋体" w:eastAsia="黑体" w:cs="黑体"/>
          <w:sz w:val="32"/>
          <w:szCs w:val="32"/>
        </w:rPr>
      </w:pPr>
      <w:r>
        <w:rPr>
          <w:rFonts w:hint="eastAsia" w:ascii="黑体" w:hAnsi="宋体" w:eastAsia="黑体" w:cs="黑体"/>
          <w:sz w:val="32"/>
          <w:szCs w:val="32"/>
        </w:rPr>
        <w:t xml:space="preserve">   （一）收入预算情况    </w:t>
      </w:r>
    </w:p>
    <w:p w14:paraId="5CD95CEC">
      <w:pPr>
        <w:ind w:firstLine="630"/>
        <w:jc w:val="left"/>
        <w:rPr>
          <w:rFonts w:ascii="宋体" w:hAnsi="宋体" w:cs="宋体"/>
          <w:color w:val="000000"/>
          <w:sz w:val="32"/>
          <w:szCs w:val="32"/>
        </w:rPr>
      </w:pPr>
      <w:r>
        <w:rPr>
          <w:rFonts w:ascii="宋体" w:hAnsi="宋体" w:cs="宋体"/>
          <w:color w:val="000000"/>
          <w:sz w:val="32"/>
          <w:szCs w:val="32"/>
        </w:rPr>
        <w:t>201</w:t>
      </w:r>
      <w:r>
        <w:rPr>
          <w:rFonts w:hint="eastAsia" w:ascii="宋体" w:hAnsi="宋体" w:cs="宋体"/>
          <w:color w:val="000000"/>
          <w:sz w:val="32"/>
          <w:szCs w:val="32"/>
        </w:rPr>
        <w:t>9年景德镇市政府驻北京联络处一般公共预算拨款收入为301.33万元，与上年预算相比增加8%，增加的原因是</w:t>
      </w:r>
      <w:bookmarkStart w:id="0" w:name="_GoBack"/>
      <w:bookmarkEnd w:id="0"/>
      <w:r>
        <w:rPr>
          <w:rFonts w:hint="eastAsia" w:ascii="宋体" w:hAnsi="宋体" w:cs="宋体"/>
          <w:color w:val="000000"/>
          <w:sz w:val="32"/>
          <w:szCs w:val="32"/>
        </w:rPr>
        <w:t>人员调动及调资。其中：当年财政拨款收入为301.33万元，占收入预算总额的100</w:t>
      </w:r>
      <w:r>
        <w:rPr>
          <w:rFonts w:ascii="宋体" w:hAnsi="宋体" w:cs="宋体"/>
          <w:color w:val="000000"/>
          <w:sz w:val="32"/>
          <w:szCs w:val="32"/>
        </w:rPr>
        <w:t>%</w:t>
      </w:r>
      <w:r>
        <w:rPr>
          <w:rFonts w:hint="eastAsia" w:ascii="宋体" w:hAnsi="宋体" w:cs="宋体"/>
          <w:color w:val="000000"/>
          <w:sz w:val="32"/>
          <w:szCs w:val="32"/>
        </w:rPr>
        <w:t>。</w:t>
      </w:r>
    </w:p>
    <w:p w14:paraId="2BC1EAB4">
      <w:pPr>
        <w:ind w:firstLine="640" w:firstLineChars="200"/>
        <w:rPr>
          <w:rFonts w:ascii="黑体" w:hAnsi="宋体" w:eastAsia="黑体" w:cs="黑体"/>
          <w:sz w:val="32"/>
          <w:szCs w:val="32"/>
        </w:rPr>
      </w:pPr>
      <w:r>
        <w:rPr>
          <w:rFonts w:hint="eastAsia" w:ascii="黑体" w:hAnsi="宋体" w:eastAsia="黑体" w:cs="黑体"/>
          <w:sz w:val="32"/>
          <w:szCs w:val="32"/>
        </w:rPr>
        <w:t>（二）支出预算情况</w:t>
      </w:r>
    </w:p>
    <w:p w14:paraId="328808C7">
      <w:pPr>
        <w:ind w:firstLine="640" w:firstLineChars="200"/>
        <w:rPr>
          <w:rFonts w:ascii="宋体" w:hAnsi="宋体" w:cs="宋体"/>
          <w:color w:val="000000"/>
          <w:sz w:val="32"/>
          <w:szCs w:val="32"/>
        </w:rPr>
      </w:pPr>
      <w:r>
        <w:rPr>
          <w:rFonts w:hint="eastAsia" w:ascii="宋体" w:hAnsi="宋体" w:cs="宋体"/>
          <w:color w:val="000000"/>
          <w:sz w:val="32"/>
          <w:szCs w:val="32"/>
        </w:rPr>
        <w:t>2019年景德镇市政府驻北京联络处支出预算总额为301.33，与上年预算相比增加8%。其中：按支出项目类别划分：基本支出101.33万元，占支出预算总额的33.63%，包括工资福利支出90.32万元，商品及服务支出10.77万元，对个人及家庭补助支出0.24万元。项目支出200万元，占支出总额66.37%，主要是信访事务公务接待支出。</w:t>
      </w:r>
    </w:p>
    <w:p w14:paraId="427D8D6D">
      <w:pPr>
        <w:ind w:firstLine="640" w:firstLineChars="200"/>
        <w:rPr>
          <w:rFonts w:ascii="宋体" w:cs="宋体"/>
          <w:color w:val="000000"/>
          <w:sz w:val="32"/>
          <w:szCs w:val="32"/>
        </w:rPr>
      </w:pPr>
      <w:r>
        <w:rPr>
          <w:rFonts w:hint="eastAsia" w:ascii="宋体" w:hAnsi="宋体" w:cs="宋体"/>
          <w:color w:val="000000"/>
          <w:sz w:val="32"/>
          <w:szCs w:val="32"/>
        </w:rPr>
        <w:t>按支出功能项目科目划分：基本支出101.33万元，占支出预算总额的33.63</w:t>
      </w:r>
      <w:r>
        <w:rPr>
          <w:rFonts w:ascii="宋体" w:hAnsi="宋体" w:cs="宋体"/>
          <w:color w:val="000000"/>
          <w:sz w:val="32"/>
          <w:szCs w:val="32"/>
        </w:rPr>
        <w:t>%</w:t>
      </w:r>
      <w:r>
        <w:rPr>
          <w:rFonts w:hint="eastAsia" w:ascii="宋体" w:hAnsi="宋体" w:cs="宋体"/>
          <w:color w:val="000000"/>
          <w:sz w:val="32"/>
          <w:szCs w:val="32"/>
        </w:rPr>
        <w:t>，其中一般公共服务支出75.6万元，社会保障和就业支出18.32万元，住房保障支出7.41万元；项目支出200万元，占支出预算总额的66.37</w:t>
      </w:r>
      <w:r>
        <w:rPr>
          <w:rFonts w:ascii="宋体" w:hAnsi="宋体" w:cs="宋体"/>
          <w:color w:val="000000"/>
          <w:sz w:val="32"/>
          <w:szCs w:val="32"/>
        </w:rPr>
        <w:t>%</w:t>
      </w:r>
      <w:r>
        <w:rPr>
          <w:rFonts w:hint="eastAsia" w:ascii="宋体" w:hAnsi="宋体" w:cs="宋体"/>
          <w:color w:val="000000"/>
          <w:sz w:val="32"/>
          <w:szCs w:val="32"/>
        </w:rPr>
        <w:t>，其中信访事务200万元。</w:t>
      </w:r>
    </w:p>
    <w:p w14:paraId="0E184EE1">
      <w:pPr>
        <w:ind w:firstLine="640" w:firstLineChars="200"/>
        <w:rPr>
          <w:rFonts w:ascii="宋体" w:hAnsi="宋体" w:cs="宋体"/>
          <w:color w:val="000000"/>
          <w:sz w:val="32"/>
          <w:szCs w:val="32"/>
        </w:rPr>
      </w:pPr>
      <w:r>
        <w:rPr>
          <w:rFonts w:hint="eastAsia" w:ascii="宋体" w:hAnsi="宋体" w:cs="宋体"/>
          <w:color w:val="000000"/>
          <w:sz w:val="32"/>
          <w:szCs w:val="32"/>
        </w:rPr>
        <w:t>一般公共预算基本支出按经济分类划分：其中工资及福利支出90.32万元，占支出预算总额29.97</w:t>
      </w:r>
      <w:r>
        <w:rPr>
          <w:rFonts w:ascii="宋体" w:hAnsi="宋体" w:cs="宋体"/>
          <w:color w:val="000000"/>
          <w:sz w:val="32"/>
          <w:szCs w:val="32"/>
        </w:rPr>
        <w:t>%</w:t>
      </w:r>
      <w:r>
        <w:rPr>
          <w:rFonts w:hint="eastAsia" w:ascii="宋体" w:hAnsi="宋体" w:cs="宋体"/>
          <w:color w:val="000000"/>
          <w:sz w:val="32"/>
          <w:szCs w:val="32"/>
        </w:rPr>
        <w:t>；商品和服务支出211.01万元，占支出预算总额70.03</w:t>
      </w:r>
      <w:r>
        <w:rPr>
          <w:rFonts w:ascii="宋体" w:hAnsi="宋体" w:cs="宋体"/>
          <w:color w:val="000000"/>
          <w:sz w:val="32"/>
          <w:szCs w:val="32"/>
        </w:rPr>
        <w:t>%</w:t>
      </w:r>
      <w:r>
        <w:rPr>
          <w:rFonts w:hint="eastAsia" w:ascii="宋体" w:hAnsi="宋体" w:cs="宋体"/>
          <w:color w:val="000000"/>
          <w:sz w:val="32"/>
          <w:szCs w:val="32"/>
        </w:rPr>
        <w:t>。</w:t>
      </w:r>
    </w:p>
    <w:p w14:paraId="4935E884">
      <w:pPr>
        <w:ind w:firstLine="640" w:firstLineChars="200"/>
        <w:rPr>
          <w:rFonts w:ascii="黑体" w:hAnsi="宋体" w:eastAsia="黑体" w:cs="黑体"/>
          <w:sz w:val="32"/>
          <w:szCs w:val="32"/>
        </w:rPr>
      </w:pPr>
      <w:r>
        <w:rPr>
          <w:rFonts w:hint="eastAsia" w:ascii="黑体" w:hAnsi="宋体" w:eastAsia="黑体" w:cs="黑体"/>
          <w:sz w:val="32"/>
          <w:szCs w:val="32"/>
        </w:rPr>
        <w:t>（三）经费拨款支出情况</w:t>
      </w:r>
    </w:p>
    <w:p w14:paraId="2D5A1656">
      <w:pPr>
        <w:ind w:firstLine="640" w:firstLineChars="200"/>
        <w:rPr>
          <w:rFonts w:ascii="仿宋_GB2312" w:hAnsi="宋体" w:eastAsia="仿宋_GB2312" w:cs="仿宋_GB2312"/>
          <w:b/>
          <w:sz w:val="32"/>
          <w:szCs w:val="32"/>
        </w:rPr>
      </w:pPr>
      <w:r>
        <w:rPr>
          <w:rFonts w:ascii="宋体" w:hAnsi="宋体" w:cs="宋体"/>
          <w:color w:val="000000"/>
          <w:sz w:val="32"/>
          <w:szCs w:val="32"/>
        </w:rPr>
        <w:t>201</w:t>
      </w:r>
      <w:r>
        <w:rPr>
          <w:rFonts w:hint="eastAsia" w:ascii="宋体" w:hAnsi="宋体" w:cs="宋体"/>
          <w:color w:val="000000"/>
          <w:sz w:val="32"/>
          <w:szCs w:val="32"/>
        </w:rPr>
        <w:t>9年景德镇市政府驻北京联络处经费拨款支出预算为0万元。</w:t>
      </w:r>
    </w:p>
    <w:p w14:paraId="215692E6">
      <w:pPr>
        <w:ind w:firstLine="643" w:firstLineChars="200"/>
        <w:rPr>
          <w:rFonts w:ascii="宋体" w:hAnsi="宋体" w:cs="宋体"/>
          <w:b/>
          <w:color w:val="000000"/>
          <w:sz w:val="32"/>
          <w:szCs w:val="32"/>
        </w:rPr>
      </w:pPr>
      <w:r>
        <w:rPr>
          <w:rFonts w:hint="eastAsia" w:ascii="宋体" w:hAnsi="宋体" w:cs="宋体"/>
          <w:b/>
          <w:color w:val="000000"/>
          <w:sz w:val="32"/>
          <w:szCs w:val="32"/>
        </w:rPr>
        <w:t>（四）政府采购预算情况</w:t>
      </w:r>
      <w:r>
        <w:rPr>
          <w:rFonts w:ascii="宋体" w:hAnsi="宋体" w:cs="宋体"/>
          <w:b/>
          <w:color w:val="000000"/>
          <w:sz w:val="32"/>
          <w:szCs w:val="32"/>
        </w:rPr>
        <w:t xml:space="preserve"> </w:t>
      </w:r>
    </w:p>
    <w:p w14:paraId="27B26750">
      <w:pPr>
        <w:ind w:firstLine="640" w:firstLineChars="200"/>
        <w:rPr>
          <w:rFonts w:ascii="宋体" w:hAnsi="宋体" w:cs="宋体"/>
          <w:b/>
          <w:color w:val="000000"/>
          <w:sz w:val="32"/>
          <w:szCs w:val="32"/>
        </w:rPr>
      </w:pPr>
      <w:r>
        <w:rPr>
          <w:rFonts w:hint="eastAsia" w:ascii="宋体" w:hAnsi="宋体" w:cs="宋体"/>
          <w:color w:val="000000"/>
          <w:sz w:val="32"/>
          <w:szCs w:val="32"/>
        </w:rPr>
        <w:t>因景德镇市政府驻北京联络处在北京办公，帮没有政府采购预算。</w:t>
      </w:r>
    </w:p>
    <w:p w14:paraId="340583F9">
      <w:pPr>
        <w:ind w:firstLine="643" w:firstLineChars="200"/>
        <w:rPr>
          <w:rFonts w:ascii="宋体" w:hAnsi="宋体" w:cs="宋体"/>
          <w:b/>
          <w:color w:val="000000"/>
          <w:sz w:val="32"/>
          <w:szCs w:val="32"/>
        </w:rPr>
      </w:pPr>
      <w:r>
        <w:rPr>
          <w:rFonts w:hint="eastAsia" w:ascii="宋体" w:hAnsi="宋体" w:cs="宋体"/>
          <w:b/>
          <w:color w:val="000000"/>
          <w:sz w:val="32"/>
          <w:szCs w:val="32"/>
        </w:rPr>
        <w:t>（五）政府基金收支情况</w:t>
      </w:r>
    </w:p>
    <w:p w14:paraId="28E53535">
      <w:pPr>
        <w:ind w:firstLine="640" w:firstLineChars="200"/>
        <w:rPr>
          <w:rFonts w:ascii="宋体" w:cs="宋体"/>
          <w:color w:val="000000"/>
          <w:sz w:val="32"/>
          <w:szCs w:val="32"/>
        </w:rPr>
      </w:pPr>
      <w:r>
        <w:rPr>
          <w:rFonts w:hint="eastAsia" w:ascii="宋体" w:hAnsi="宋体" w:cs="宋体"/>
          <w:color w:val="000000"/>
          <w:sz w:val="32"/>
          <w:szCs w:val="32"/>
        </w:rPr>
        <w:t>无政府基金收支预算</w:t>
      </w:r>
    </w:p>
    <w:p w14:paraId="4DA060EE">
      <w:pPr>
        <w:ind w:firstLine="643" w:firstLineChars="200"/>
        <w:rPr>
          <w:rFonts w:ascii="宋体" w:cs="宋体"/>
          <w:b/>
          <w:color w:val="000000"/>
          <w:sz w:val="32"/>
          <w:szCs w:val="32"/>
        </w:rPr>
      </w:pPr>
      <w:r>
        <w:rPr>
          <w:rFonts w:hint="eastAsia" w:ascii="宋体" w:hAnsi="宋体" w:cs="宋体"/>
          <w:b/>
          <w:color w:val="000000"/>
          <w:sz w:val="32"/>
          <w:szCs w:val="32"/>
        </w:rPr>
        <w:t>（六）机关运行经费安排情况</w:t>
      </w:r>
    </w:p>
    <w:p w14:paraId="52047B5F">
      <w:pPr>
        <w:ind w:firstLine="640" w:firstLineChars="200"/>
        <w:rPr>
          <w:rFonts w:ascii="宋体" w:cs="宋体"/>
          <w:color w:val="000000"/>
          <w:sz w:val="32"/>
          <w:szCs w:val="32"/>
        </w:rPr>
      </w:pPr>
      <w:r>
        <w:rPr>
          <w:rFonts w:ascii="宋体" w:hAnsi="宋体" w:cs="宋体"/>
          <w:color w:val="000000"/>
          <w:sz w:val="32"/>
          <w:szCs w:val="32"/>
        </w:rPr>
        <w:t>201</w:t>
      </w:r>
      <w:r>
        <w:rPr>
          <w:rFonts w:hint="eastAsia" w:ascii="宋体" w:hAnsi="宋体" w:cs="宋体"/>
          <w:color w:val="000000"/>
          <w:sz w:val="32"/>
          <w:szCs w:val="32"/>
        </w:rPr>
        <w:t>9年景德镇市政府驻北京联络处机关运行经费10.77万元。机关运行费具体安排情况：办公费5万元，在职交通补贴5.5万元，其他商品及服务支出0.27万元。</w:t>
      </w:r>
    </w:p>
    <w:p w14:paraId="30D2C27E">
      <w:pPr>
        <w:ind w:firstLine="643" w:firstLineChars="200"/>
        <w:rPr>
          <w:rFonts w:ascii="宋体" w:cs="宋体"/>
          <w:b/>
          <w:color w:val="000000"/>
          <w:sz w:val="32"/>
          <w:szCs w:val="32"/>
        </w:rPr>
      </w:pPr>
      <w:r>
        <w:rPr>
          <w:rFonts w:hint="eastAsia" w:ascii="宋体" w:hAnsi="宋体" w:cs="宋体"/>
          <w:b/>
          <w:color w:val="000000"/>
          <w:sz w:val="32"/>
          <w:szCs w:val="32"/>
        </w:rPr>
        <w:t>（七）“三公”经费预算安排情况</w:t>
      </w:r>
    </w:p>
    <w:p w14:paraId="24B669ED">
      <w:pPr>
        <w:ind w:firstLine="640" w:firstLineChars="200"/>
        <w:rPr>
          <w:rFonts w:hint="eastAsia" w:ascii="宋体" w:hAnsi="宋体" w:cs="宋体"/>
          <w:color w:val="000000"/>
          <w:sz w:val="32"/>
          <w:szCs w:val="32"/>
        </w:rPr>
      </w:pPr>
      <w:r>
        <w:rPr>
          <w:rFonts w:hint="eastAsia" w:ascii="宋体" w:hAnsi="宋体" w:cs="宋体"/>
          <w:color w:val="000000"/>
          <w:sz w:val="32"/>
          <w:szCs w:val="32"/>
        </w:rPr>
        <w:t>当年“三公”经费安排情况，公务接待费0.6万元，与去年预算一致。</w:t>
      </w:r>
    </w:p>
    <w:p w14:paraId="49E18FA7">
      <w:pPr>
        <w:ind w:firstLine="640" w:firstLineChars="200"/>
        <w:rPr>
          <w:rFonts w:hint="eastAsia" w:ascii="宋体" w:hAnsi="宋体" w:cs="宋体"/>
          <w:color w:val="000000"/>
          <w:sz w:val="32"/>
          <w:szCs w:val="32"/>
        </w:rPr>
      </w:pPr>
    </w:p>
    <w:p w14:paraId="57758504">
      <w:pPr>
        <w:ind w:firstLine="640" w:firstLineChars="200"/>
        <w:rPr>
          <w:rFonts w:hint="eastAsia" w:ascii="宋体" w:hAnsi="宋体" w:cs="宋体"/>
          <w:color w:val="000000"/>
          <w:sz w:val="32"/>
          <w:szCs w:val="32"/>
        </w:rPr>
      </w:pPr>
    </w:p>
    <w:p w14:paraId="69D2D568">
      <w:pPr>
        <w:ind w:firstLine="640" w:firstLineChars="200"/>
        <w:rPr>
          <w:rFonts w:hint="eastAsia" w:ascii="宋体" w:hAnsi="宋体" w:cs="宋体"/>
          <w:color w:val="000000"/>
          <w:sz w:val="32"/>
          <w:szCs w:val="32"/>
        </w:rPr>
      </w:pPr>
    </w:p>
    <w:p w14:paraId="24BB6483">
      <w:pPr>
        <w:spacing w:line="600" w:lineRule="exact"/>
        <w:jc w:val="center"/>
        <w:rPr>
          <w:rFonts w:hint="eastAsia" w:ascii="仿宋" w:hAnsi="仿宋" w:eastAsia="方正小标宋简体"/>
          <w:sz w:val="44"/>
          <w:szCs w:val="44"/>
        </w:rPr>
      </w:pPr>
      <w:r>
        <w:rPr>
          <w:rFonts w:hint="eastAsia" w:ascii="仿宋" w:hAnsi="仿宋" w:eastAsia="方正小标宋简体"/>
          <w:sz w:val="44"/>
          <w:szCs w:val="44"/>
        </w:rPr>
        <w:t>第三部分：景德镇市</w:t>
      </w:r>
      <w:r>
        <w:rPr>
          <w:rFonts w:hint="eastAsia" w:ascii="仿宋" w:hAnsi="仿宋" w:eastAsia="方正小标宋简体"/>
          <w:sz w:val="44"/>
          <w:szCs w:val="44"/>
          <w:lang w:eastAsia="zh-CN"/>
        </w:rPr>
        <w:t>政府驻北京联络处</w:t>
      </w:r>
      <w:r>
        <w:rPr>
          <w:rFonts w:hint="eastAsia" w:ascii="仿宋" w:hAnsi="仿宋" w:eastAsia="方正小标宋简体"/>
          <w:sz w:val="44"/>
          <w:szCs w:val="44"/>
        </w:rPr>
        <w:t>2019年度部门预算表</w:t>
      </w:r>
    </w:p>
    <w:p w14:paraId="6D0036D4">
      <w:pPr>
        <w:spacing w:line="600" w:lineRule="exact"/>
        <w:jc w:val="center"/>
        <w:rPr>
          <w:rFonts w:hint="eastAsia" w:ascii="仿宋" w:hAnsi="仿宋" w:eastAsia="黑体"/>
          <w:sz w:val="32"/>
          <w:szCs w:val="32"/>
        </w:rPr>
      </w:pPr>
    </w:p>
    <w:p w14:paraId="3FBA08C5">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见附件。</w:t>
      </w:r>
    </w:p>
    <w:p w14:paraId="71C5EB7E">
      <w:pPr>
        <w:spacing w:line="600" w:lineRule="exact"/>
        <w:ind w:firstLine="640" w:firstLineChars="200"/>
        <w:rPr>
          <w:rFonts w:ascii="仿宋" w:hAnsi="仿宋" w:eastAsia="仿宋"/>
          <w:sz w:val="32"/>
          <w:szCs w:val="32"/>
        </w:rPr>
      </w:pPr>
    </w:p>
    <w:p w14:paraId="6547B16E">
      <w:pPr>
        <w:spacing w:line="600" w:lineRule="exact"/>
        <w:ind w:firstLine="640" w:firstLineChars="200"/>
        <w:rPr>
          <w:rFonts w:ascii="仿宋" w:hAnsi="仿宋" w:eastAsia="仿宋"/>
          <w:sz w:val="32"/>
          <w:szCs w:val="32"/>
        </w:rPr>
      </w:pPr>
    </w:p>
    <w:p w14:paraId="4CB65731">
      <w:pPr>
        <w:spacing w:line="600" w:lineRule="exact"/>
        <w:ind w:firstLine="640" w:firstLineChars="200"/>
        <w:rPr>
          <w:rFonts w:ascii="仿宋" w:hAnsi="仿宋" w:eastAsia="仿宋"/>
          <w:sz w:val="32"/>
          <w:szCs w:val="32"/>
        </w:rPr>
      </w:pPr>
    </w:p>
    <w:p w14:paraId="37F45DC4">
      <w:pPr>
        <w:spacing w:line="600" w:lineRule="exact"/>
        <w:ind w:firstLine="640" w:firstLineChars="200"/>
        <w:rPr>
          <w:rFonts w:ascii="仿宋" w:hAnsi="仿宋" w:eastAsia="仿宋"/>
          <w:sz w:val="32"/>
          <w:szCs w:val="32"/>
        </w:rPr>
      </w:pPr>
    </w:p>
    <w:p w14:paraId="73EB0322">
      <w:pPr>
        <w:spacing w:line="600" w:lineRule="exact"/>
        <w:ind w:firstLine="640" w:firstLineChars="200"/>
        <w:rPr>
          <w:rFonts w:ascii="仿宋" w:hAnsi="仿宋" w:eastAsia="仿宋"/>
          <w:sz w:val="32"/>
          <w:szCs w:val="32"/>
        </w:rPr>
      </w:pPr>
    </w:p>
    <w:p w14:paraId="2CAF4EEB">
      <w:pPr>
        <w:spacing w:line="600" w:lineRule="exact"/>
        <w:ind w:firstLine="640" w:firstLineChars="200"/>
        <w:rPr>
          <w:rFonts w:ascii="仿宋" w:hAnsi="仿宋" w:eastAsia="仿宋"/>
          <w:sz w:val="32"/>
          <w:szCs w:val="32"/>
        </w:rPr>
      </w:pPr>
    </w:p>
    <w:p w14:paraId="61D61F74">
      <w:pPr>
        <w:spacing w:line="600" w:lineRule="exact"/>
        <w:ind w:firstLine="640" w:firstLineChars="200"/>
        <w:rPr>
          <w:rFonts w:ascii="仿宋" w:hAnsi="仿宋" w:eastAsia="仿宋"/>
          <w:sz w:val="32"/>
          <w:szCs w:val="32"/>
        </w:rPr>
      </w:pPr>
    </w:p>
    <w:p w14:paraId="34B868B1">
      <w:pPr>
        <w:spacing w:line="600" w:lineRule="exact"/>
        <w:ind w:firstLine="640" w:firstLineChars="200"/>
        <w:rPr>
          <w:rFonts w:ascii="仿宋" w:hAnsi="仿宋" w:eastAsia="仿宋"/>
          <w:sz w:val="32"/>
          <w:szCs w:val="32"/>
        </w:rPr>
      </w:pPr>
    </w:p>
    <w:p w14:paraId="266F52B6">
      <w:pPr>
        <w:spacing w:line="600" w:lineRule="exact"/>
        <w:ind w:firstLine="640" w:firstLineChars="200"/>
        <w:rPr>
          <w:rFonts w:ascii="仿宋" w:hAnsi="仿宋" w:eastAsia="仿宋"/>
          <w:sz w:val="32"/>
          <w:szCs w:val="32"/>
        </w:rPr>
      </w:pPr>
    </w:p>
    <w:p w14:paraId="1AEF34BB">
      <w:pPr>
        <w:spacing w:line="600" w:lineRule="exact"/>
        <w:ind w:firstLine="640" w:firstLineChars="200"/>
        <w:rPr>
          <w:rFonts w:ascii="仿宋" w:hAnsi="仿宋" w:eastAsia="仿宋"/>
          <w:sz w:val="32"/>
          <w:szCs w:val="32"/>
        </w:rPr>
      </w:pPr>
    </w:p>
    <w:p w14:paraId="326E23C7">
      <w:pPr>
        <w:spacing w:line="600" w:lineRule="exact"/>
        <w:ind w:firstLine="640" w:firstLineChars="200"/>
        <w:rPr>
          <w:rFonts w:ascii="仿宋" w:hAnsi="仿宋" w:eastAsia="仿宋"/>
          <w:sz w:val="32"/>
          <w:szCs w:val="32"/>
        </w:rPr>
      </w:pPr>
    </w:p>
    <w:p w14:paraId="4BC9D71B">
      <w:pPr>
        <w:spacing w:line="600" w:lineRule="exact"/>
        <w:ind w:firstLine="640" w:firstLineChars="200"/>
        <w:rPr>
          <w:rFonts w:ascii="仿宋" w:hAnsi="仿宋" w:eastAsia="仿宋"/>
          <w:sz w:val="32"/>
          <w:szCs w:val="32"/>
        </w:rPr>
      </w:pPr>
    </w:p>
    <w:p w14:paraId="1EFC109B">
      <w:pPr>
        <w:spacing w:line="600" w:lineRule="exact"/>
        <w:ind w:firstLine="640" w:firstLineChars="200"/>
        <w:rPr>
          <w:rFonts w:ascii="仿宋" w:hAnsi="仿宋" w:eastAsia="仿宋"/>
          <w:sz w:val="32"/>
          <w:szCs w:val="32"/>
        </w:rPr>
      </w:pPr>
    </w:p>
    <w:p w14:paraId="0A74B163">
      <w:pPr>
        <w:spacing w:line="600" w:lineRule="exact"/>
        <w:ind w:firstLine="640" w:firstLineChars="200"/>
        <w:rPr>
          <w:rFonts w:ascii="仿宋" w:hAnsi="仿宋" w:eastAsia="仿宋"/>
          <w:sz w:val="32"/>
          <w:szCs w:val="32"/>
        </w:rPr>
      </w:pPr>
    </w:p>
    <w:p w14:paraId="22C3C2A2">
      <w:pPr>
        <w:spacing w:line="600" w:lineRule="exact"/>
        <w:ind w:firstLine="640" w:firstLineChars="200"/>
        <w:rPr>
          <w:rFonts w:ascii="仿宋" w:hAnsi="仿宋" w:eastAsia="仿宋"/>
          <w:sz w:val="32"/>
          <w:szCs w:val="32"/>
        </w:rPr>
      </w:pPr>
    </w:p>
    <w:p w14:paraId="0805EFAF">
      <w:pPr>
        <w:spacing w:line="600" w:lineRule="exact"/>
        <w:ind w:firstLine="640" w:firstLineChars="200"/>
        <w:rPr>
          <w:rFonts w:ascii="仿宋" w:hAnsi="仿宋" w:eastAsia="仿宋"/>
          <w:sz w:val="32"/>
          <w:szCs w:val="32"/>
        </w:rPr>
      </w:pPr>
    </w:p>
    <w:p w14:paraId="6FB4DFB5">
      <w:pPr>
        <w:spacing w:line="600" w:lineRule="exact"/>
        <w:ind w:firstLine="640" w:firstLineChars="200"/>
        <w:rPr>
          <w:rFonts w:ascii="仿宋" w:hAnsi="仿宋" w:eastAsia="仿宋"/>
          <w:sz w:val="32"/>
          <w:szCs w:val="32"/>
        </w:rPr>
      </w:pPr>
    </w:p>
    <w:p w14:paraId="326B45DE">
      <w:pPr>
        <w:spacing w:line="600" w:lineRule="exact"/>
        <w:ind w:firstLine="640" w:firstLineChars="200"/>
        <w:rPr>
          <w:rFonts w:ascii="仿宋" w:hAnsi="仿宋" w:eastAsia="仿宋"/>
          <w:sz w:val="32"/>
          <w:szCs w:val="32"/>
        </w:rPr>
      </w:pPr>
    </w:p>
    <w:p w14:paraId="31EC4CFA">
      <w:pPr>
        <w:spacing w:line="600" w:lineRule="exact"/>
        <w:ind w:firstLine="640" w:firstLineChars="200"/>
        <w:rPr>
          <w:rFonts w:hint="eastAsia" w:ascii="仿宋" w:hAnsi="仿宋" w:eastAsia="仿宋"/>
          <w:sz w:val="32"/>
          <w:szCs w:val="32"/>
        </w:rPr>
      </w:pPr>
    </w:p>
    <w:p w14:paraId="73DD89E0">
      <w:pPr>
        <w:widowControl/>
        <w:spacing w:line="600" w:lineRule="exact"/>
        <w:jc w:val="center"/>
        <w:rPr>
          <w:rFonts w:hint="eastAsia" w:ascii="仿宋" w:hAnsi="仿宋" w:eastAsia="方正小标宋简体"/>
          <w:sz w:val="44"/>
          <w:szCs w:val="44"/>
        </w:rPr>
      </w:pPr>
      <w:r>
        <w:rPr>
          <w:rFonts w:hint="eastAsia" w:ascii="仿宋" w:hAnsi="仿宋" w:eastAsia="方正小标宋简体"/>
          <w:sz w:val="44"/>
          <w:szCs w:val="44"/>
        </w:rPr>
        <w:t>第四部分：名词解释</w:t>
      </w:r>
    </w:p>
    <w:p w14:paraId="160A9994">
      <w:pPr>
        <w:widowControl/>
        <w:spacing w:line="600" w:lineRule="exact"/>
        <w:jc w:val="center"/>
        <w:rPr>
          <w:rFonts w:hint="eastAsia" w:ascii="仿宋" w:hAnsi="仿宋" w:eastAsia="黑体"/>
          <w:b/>
          <w:sz w:val="32"/>
          <w:szCs w:val="32"/>
        </w:rPr>
      </w:pPr>
    </w:p>
    <w:p w14:paraId="4621661D">
      <w:pPr>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对部门预算中涉及的支出功能分类科目（明细到项级），结合部门实际，参照《</w:t>
      </w:r>
      <w:r>
        <w:rPr>
          <w:rFonts w:ascii="仿宋" w:hAnsi="仿宋" w:eastAsia="仿宋" w:cs="仿宋_GB2312"/>
          <w:sz w:val="32"/>
          <w:szCs w:val="32"/>
        </w:rPr>
        <w:t>2019</w:t>
      </w:r>
      <w:r>
        <w:rPr>
          <w:rFonts w:hint="eastAsia" w:ascii="仿宋" w:hAnsi="仿宋" w:eastAsia="仿宋" w:cs="仿宋_GB2312"/>
          <w:sz w:val="32"/>
          <w:szCs w:val="32"/>
        </w:rPr>
        <w:t>年政府收支分类科目》的规范说明进行解释。</w:t>
      </w:r>
    </w:p>
    <w:p w14:paraId="3F15525E">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1.财政拨款：指市级财政当年拨付的资金。</w:t>
      </w:r>
    </w:p>
    <w:p w14:paraId="673496EA">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2.事业收入：指事业单位开展专业业务活动及辅助活动取得的收入。</w:t>
      </w:r>
    </w:p>
    <w:p w14:paraId="06081661">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3.行政运行：反映行政单位（包括参公单位）的基本支出。</w:t>
      </w:r>
    </w:p>
    <w:p w14:paraId="68E6A506">
      <w:pPr>
        <w:widowControl/>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4.“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14:paraId="3E168147">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5.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14:paraId="5A02ABBD">
      <w:pPr>
        <w:spacing w:line="600" w:lineRule="exact"/>
        <w:ind w:firstLine="640" w:firstLineChars="200"/>
        <w:rPr>
          <w:rFonts w:ascii="仿宋" w:hAnsi="仿宋" w:eastAsia="仿宋"/>
          <w:sz w:val="32"/>
          <w:szCs w:val="32"/>
        </w:rPr>
      </w:pPr>
      <w:r>
        <w:rPr>
          <w:rFonts w:hint="eastAsia" w:ascii="仿宋" w:hAnsi="仿宋" w:eastAsia="仿宋"/>
          <w:sz w:val="32"/>
          <w:szCs w:val="32"/>
        </w:rPr>
        <w:t>6.支出功能科目：</w:t>
      </w:r>
    </w:p>
    <w:p w14:paraId="2D3619A9">
      <w:pPr>
        <w:spacing w:line="600" w:lineRule="exact"/>
        <w:ind w:firstLine="640" w:firstLineChars="200"/>
        <w:rPr>
          <w:rFonts w:ascii="仿宋" w:hAnsi="仿宋" w:eastAsia="仿宋"/>
          <w:sz w:val="32"/>
          <w:szCs w:val="32"/>
        </w:rPr>
      </w:pPr>
      <w:r>
        <w:rPr>
          <w:rFonts w:hint="eastAsia" w:ascii="仿宋" w:hAnsi="仿宋" w:eastAsia="仿宋"/>
          <w:sz w:val="32"/>
          <w:szCs w:val="32"/>
        </w:rPr>
        <w:t>（1）一般公共服务支出（类）财政事务（款）：反映财政事务方面的支出。</w:t>
      </w:r>
    </w:p>
    <w:p w14:paraId="2BF4F289">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其他财政事务支出（项）：反映其他财政事务方面的支出。</w:t>
      </w:r>
    </w:p>
    <w:p w14:paraId="2FAA8BF9">
      <w:pPr>
        <w:spacing w:line="600" w:lineRule="exact"/>
        <w:ind w:firstLine="640" w:firstLineChars="200"/>
        <w:rPr>
          <w:rFonts w:ascii="仿宋" w:hAnsi="仿宋" w:eastAsia="仿宋"/>
          <w:sz w:val="32"/>
          <w:szCs w:val="32"/>
        </w:rPr>
      </w:pPr>
      <w:r>
        <w:rPr>
          <w:rFonts w:hint="eastAsia" w:ascii="仿宋" w:hAnsi="仿宋" w:eastAsia="仿宋"/>
          <w:sz w:val="32"/>
          <w:szCs w:val="32"/>
        </w:rPr>
        <w:t>（2）一般公共服务支出（类）纪检监察事务（款）：反映纪检、监察方面的支出。</w:t>
      </w:r>
    </w:p>
    <w:p w14:paraId="7CF3E082">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派驻派出机构（项）：反映由纪检监察部门负担的派驻各部门和单位的纪检监察人员的专项业务支出。</w:t>
      </w:r>
    </w:p>
    <w:p w14:paraId="6C782E08">
      <w:pPr>
        <w:spacing w:line="600" w:lineRule="exact"/>
        <w:ind w:firstLine="640" w:firstLineChars="200"/>
        <w:rPr>
          <w:rFonts w:ascii="仿宋" w:hAnsi="仿宋" w:eastAsia="仿宋"/>
          <w:sz w:val="32"/>
          <w:szCs w:val="32"/>
        </w:rPr>
      </w:pPr>
      <w:r>
        <w:rPr>
          <w:rFonts w:hint="eastAsia" w:ascii="仿宋" w:hAnsi="仿宋" w:eastAsia="仿宋"/>
          <w:sz w:val="32"/>
          <w:szCs w:val="32"/>
        </w:rPr>
        <w:t>（3）公共安全支出（类）公安（款）：反映公安事务及管理支出。</w:t>
      </w:r>
    </w:p>
    <w:p w14:paraId="7BC9C97C">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行政运行（项）：反映行政单位（包括实行公务员管理的事业单位）的基本支出。</w:t>
      </w:r>
    </w:p>
    <w:p w14:paraId="27166D82">
      <w:pPr>
        <w:spacing w:line="600" w:lineRule="exact"/>
        <w:ind w:left="840" w:leftChars="400" w:firstLine="640" w:firstLineChars="200"/>
        <w:rPr>
          <w:rFonts w:hint="eastAsia" w:ascii="仿宋" w:hAnsi="仿宋" w:eastAsia="仿宋"/>
          <w:sz w:val="32"/>
          <w:szCs w:val="32"/>
        </w:rPr>
      </w:pPr>
      <w:r>
        <w:rPr>
          <w:rFonts w:hint="eastAsia" w:ascii="仿宋" w:hAnsi="仿宋" w:eastAsia="仿宋"/>
          <w:sz w:val="32"/>
          <w:szCs w:val="32"/>
        </w:rPr>
        <w:t>一般行政管理事务（项）：反映行政单位（包括实行公务员管理的事业单位）未单独设置顶级科目的其他项目支出。</w:t>
      </w:r>
    </w:p>
    <w:p w14:paraId="4E32A453">
      <w:pPr>
        <w:spacing w:line="600" w:lineRule="exact"/>
        <w:ind w:left="840" w:leftChars="400" w:firstLine="640" w:firstLineChars="200"/>
        <w:rPr>
          <w:rFonts w:hint="eastAsia" w:ascii="仿宋" w:hAnsi="仿宋" w:eastAsia="仿宋"/>
          <w:sz w:val="32"/>
          <w:szCs w:val="32"/>
        </w:rPr>
      </w:pPr>
      <w:r>
        <w:rPr>
          <w:rFonts w:hint="eastAsia" w:ascii="仿宋" w:hAnsi="仿宋" w:eastAsia="仿宋"/>
          <w:sz w:val="32"/>
          <w:szCs w:val="32"/>
        </w:rPr>
        <w:t>信息化建设（项）：反映各级公安机关用于非涉密的信息网络建设和运行维护相关支出。</w:t>
      </w:r>
    </w:p>
    <w:p w14:paraId="01C12F95">
      <w:pPr>
        <w:spacing w:line="600" w:lineRule="exact"/>
        <w:ind w:left="840" w:leftChars="400" w:firstLine="640" w:firstLineChars="200"/>
        <w:rPr>
          <w:rFonts w:hint="eastAsia" w:ascii="仿宋" w:hAnsi="仿宋" w:eastAsia="仿宋"/>
          <w:sz w:val="32"/>
          <w:szCs w:val="32"/>
        </w:rPr>
      </w:pPr>
      <w:r>
        <w:rPr>
          <w:rFonts w:hint="eastAsia" w:ascii="仿宋" w:hAnsi="仿宋" w:eastAsia="仿宋"/>
          <w:sz w:val="32"/>
          <w:szCs w:val="32"/>
        </w:rPr>
        <w:t>执法办案（项）：反映公安机关从事行政执法、刑事司法及侦查办案等相关活动的支出。</w:t>
      </w:r>
    </w:p>
    <w:p w14:paraId="267F595F">
      <w:pPr>
        <w:spacing w:line="600" w:lineRule="exact"/>
        <w:ind w:left="840" w:leftChars="400" w:firstLine="640" w:firstLineChars="200"/>
        <w:rPr>
          <w:rFonts w:hint="eastAsia" w:ascii="仿宋" w:hAnsi="仿宋" w:eastAsia="仿宋"/>
          <w:sz w:val="32"/>
          <w:szCs w:val="32"/>
        </w:rPr>
      </w:pPr>
      <w:r>
        <w:rPr>
          <w:rFonts w:hint="eastAsia" w:ascii="仿宋" w:hAnsi="仿宋" w:eastAsia="仿宋"/>
          <w:sz w:val="32"/>
          <w:szCs w:val="32"/>
        </w:rPr>
        <w:t>特别业务（项）：反映公安机关用于开展特别业务工作的相关支出。</w:t>
      </w:r>
    </w:p>
    <w:p w14:paraId="52C78489">
      <w:pPr>
        <w:spacing w:line="600" w:lineRule="exact"/>
        <w:ind w:left="840" w:leftChars="400" w:firstLine="640" w:firstLineChars="200"/>
        <w:rPr>
          <w:rFonts w:hint="eastAsia" w:ascii="仿宋" w:hAnsi="仿宋" w:eastAsia="仿宋"/>
          <w:sz w:val="32"/>
          <w:szCs w:val="32"/>
        </w:rPr>
      </w:pPr>
      <w:r>
        <w:rPr>
          <w:rFonts w:hint="eastAsia" w:ascii="仿宋" w:hAnsi="仿宋" w:eastAsia="仿宋"/>
          <w:sz w:val="32"/>
          <w:szCs w:val="32"/>
        </w:rPr>
        <w:t>其他公安支出（项）：反映除上述项目以外用于公安方面的支出。</w:t>
      </w:r>
    </w:p>
    <w:p w14:paraId="620FF251">
      <w:pPr>
        <w:spacing w:line="600" w:lineRule="exact"/>
        <w:ind w:firstLine="640" w:firstLineChars="200"/>
        <w:rPr>
          <w:rFonts w:ascii="仿宋" w:hAnsi="仿宋" w:eastAsia="仿宋"/>
          <w:sz w:val="32"/>
          <w:szCs w:val="32"/>
        </w:rPr>
      </w:pPr>
      <w:r>
        <w:rPr>
          <w:rFonts w:hint="eastAsia" w:ascii="仿宋" w:hAnsi="仿宋" w:eastAsia="仿宋"/>
          <w:sz w:val="32"/>
          <w:szCs w:val="32"/>
        </w:rPr>
        <w:t>（4）社会保障和就业支出（类）行政事业单位离退休（款）：反映用于行政事业单位离退休方面的支出。</w:t>
      </w:r>
    </w:p>
    <w:p w14:paraId="67F3C009">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为归口管理的行政单位离退休（项）：反映未实行归口管理的行政单位（包括实行公务员管理的事业单位）开支的离退休支出。</w:t>
      </w:r>
    </w:p>
    <w:p w14:paraId="4225EE1A">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机关事业单位基本养老保险缴费支出（项）：反映机关事业单位实施养老保险制度由单位缴纳的基本养老保险支出。</w:t>
      </w:r>
    </w:p>
    <w:p w14:paraId="20719986">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机关事业单位职业年金缴费支出（项）：反映机关事业单位实施养老保险制度由单位缴纳的职业年金支出。</w:t>
      </w:r>
    </w:p>
    <w:p w14:paraId="78AE1E42">
      <w:pPr>
        <w:spacing w:line="600" w:lineRule="exact"/>
        <w:ind w:firstLine="640" w:firstLineChars="200"/>
        <w:rPr>
          <w:rFonts w:ascii="仿宋" w:hAnsi="仿宋" w:eastAsia="仿宋"/>
          <w:sz w:val="32"/>
          <w:szCs w:val="32"/>
        </w:rPr>
      </w:pPr>
      <w:r>
        <w:rPr>
          <w:rFonts w:hint="eastAsia" w:ascii="仿宋" w:hAnsi="仿宋" w:eastAsia="仿宋"/>
          <w:sz w:val="32"/>
          <w:szCs w:val="32"/>
        </w:rPr>
        <w:t>（5）卫生健康支出（类）行政事业单位医疗（款）：反映行政事业单位医疗方面的支出。</w:t>
      </w:r>
    </w:p>
    <w:p w14:paraId="23610ACB">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5BD80442">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事业单位医疗（项）：反映财政部门安排的事业单位基本医疗保险缴费经费，未参加医疗保险的事业单位的公费医疗经费，按国家规定享受离休人员待遇的医疗经费。</w:t>
      </w:r>
    </w:p>
    <w:p w14:paraId="75315429">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公务员医疗补助（项）：反映财政部门安排的公务员医疗补助经费。</w:t>
      </w:r>
    </w:p>
    <w:p w14:paraId="4C21EB2E">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其他行政事业单位医疗支出（项）：反映除上述项目以外的其他用于行政事业单位医疗方面的支出。</w:t>
      </w:r>
    </w:p>
    <w:p w14:paraId="226A57A2">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6</w:t>
      </w:r>
      <w:r>
        <w:rPr>
          <w:rFonts w:hint="eastAsia" w:ascii="仿宋" w:hAnsi="仿宋" w:eastAsia="仿宋"/>
          <w:sz w:val="32"/>
          <w:szCs w:val="32"/>
        </w:rPr>
        <w:t>）住房保障支出（类）住房改革支出（款）：反映行政事业单位用财政拨款资金和其他资金等安排的住房改革支出。</w:t>
      </w:r>
    </w:p>
    <w:p w14:paraId="2762FE0C">
      <w:pPr>
        <w:spacing w:line="600" w:lineRule="exact"/>
        <w:ind w:left="840" w:leftChars="400" w:firstLine="640" w:firstLineChars="200"/>
        <w:rPr>
          <w:rFonts w:ascii="仿宋" w:hAnsi="仿宋" w:eastAsia="仿宋"/>
          <w:sz w:val="32"/>
          <w:szCs w:val="32"/>
        </w:rPr>
      </w:pPr>
      <w:r>
        <w:rPr>
          <w:rFonts w:hint="eastAsia" w:ascii="仿宋" w:hAnsi="仿宋" w:eastAsia="仿宋"/>
          <w:sz w:val="32"/>
          <w:szCs w:val="32"/>
        </w:rPr>
        <w:t>住房公积金（项）：反映行政事业单位按人力资源和社会保障部、财政部规定的基本工资和津贴补贴以及规定比例为职工缴纳的住房公积金。</w:t>
      </w:r>
    </w:p>
    <w:p w14:paraId="2528AD20">
      <w:pPr>
        <w:ind w:firstLine="640" w:firstLineChars="200"/>
        <w:rPr>
          <w:rFonts w:hint="eastAsia" w:ascii="宋体" w:hAnsi="宋体" w:cs="宋体"/>
          <w:color w:val="000000"/>
          <w:sz w:val="32"/>
          <w:szCs w:val="32"/>
        </w:rPr>
      </w:pPr>
    </w:p>
    <w:p w14:paraId="48C544A5">
      <w:pPr>
        <w:rPr>
          <w:rFonts w:ascii="仿宋_GB2312" w:eastAsia="仿宋_GB2312" w:cs="Times New Roman"/>
          <w:sz w:val="32"/>
          <w:szCs w:val="32"/>
        </w:rPr>
      </w:pPr>
    </w:p>
    <w:p w14:paraId="1D1E3467">
      <w:pPr>
        <w:rPr>
          <w:rFonts w:ascii="仿宋_GB2312" w:eastAsia="仿宋_GB2312" w:cs="Times New Roman"/>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3000509000000000000"/>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18CEA">
    <w:pPr>
      <w:pStyle w:val="3"/>
      <w:framePr w:wrap="around" w:vAnchor="text" w:hAnchor="margin" w:xAlign="center" w:y="1"/>
      <w:rPr>
        <w:rStyle w:val="8"/>
      </w:rPr>
    </w:pPr>
    <w:r>
      <w:rPr>
        <w:rStyle w:val="8"/>
        <w:rFonts w:cs="Calibri"/>
      </w:rPr>
      <w:fldChar w:fldCharType="begin"/>
    </w:r>
    <w:r>
      <w:rPr>
        <w:rStyle w:val="8"/>
        <w:rFonts w:cs="Calibri"/>
      </w:rPr>
      <w:instrText xml:space="preserve">PAGE  </w:instrText>
    </w:r>
    <w:r>
      <w:rPr>
        <w:rStyle w:val="8"/>
        <w:rFonts w:cs="Calibri"/>
      </w:rPr>
      <w:fldChar w:fldCharType="separate"/>
    </w:r>
    <w:r>
      <w:rPr>
        <w:rStyle w:val="8"/>
        <w:rFonts w:cs="Calibri"/>
      </w:rPr>
      <w:t>4</w:t>
    </w:r>
    <w:r>
      <w:rPr>
        <w:rStyle w:val="8"/>
        <w:rFonts w:cs="Calibri"/>
      </w:rPr>
      <w:fldChar w:fldCharType="end"/>
    </w:r>
  </w:p>
  <w:p w14:paraId="28CBE7DA">
    <w:pPr>
      <w:pStyle w:val="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07F4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80F5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3FFB1">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C16E3">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CAD7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F4D12"/>
    <w:rsid w:val="00110DBA"/>
    <w:rsid w:val="0015066A"/>
    <w:rsid w:val="0019718F"/>
    <w:rsid w:val="00197A72"/>
    <w:rsid w:val="002A029B"/>
    <w:rsid w:val="002D34E7"/>
    <w:rsid w:val="003C2CB4"/>
    <w:rsid w:val="003F4457"/>
    <w:rsid w:val="00406DFD"/>
    <w:rsid w:val="00443883"/>
    <w:rsid w:val="004638CF"/>
    <w:rsid w:val="00470655"/>
    <w:rsid w:val="00567972"/>
    <w:rsid w:val="005B6EC0"/>
    <w:rsid w:val="006568C7"/>
    <w:rsid w:val="00665642"/>
    <w:rsid w:val="006C7DC7"/>
    <w:rsid w:val="007C1E83"/>
    <w:rsid w:val="008110CC"/>
    <w:rsid w:val="008364A9"/>
    <w:rsid w:val="00836C77"/>
    <w:rsid w:val="00866778"/>
    <w:rsid w:val="008843E1"/>
    <w:rsid w:val="008E2DA3"/>
    <w:rsid w:val="009434D5"/>
    <w:rsid w:val="00953980"/>
    <w:rsid w:val="00965119"/>
    <w:rsid w:val="0097752B"/>
    <w:rsid w:val="009E0AEA"/>
    <w:rsid w:val="00A37524"/>
    <w:rsid w:val="00A96E16"/>
    <w:rsid w:val="00AA2F9A"/>
    <w:rsid w:val="00AF514B"/>
    <w:rsid w:val="00B37441"/>
    <w:rsid w:val="00BC795A"/>
    <w:rsid w:val="00BD4254"/>
    <w:rsid w:val="00C04C9A"/>
    <w:rsid w:val="00C6251E"/>
    <w:rsid w:val="00C71D38"/>
    <w:rsid w:val="00C93529"/>
    <w:rsid w:val="00CB427A"/>
    <w:rsid w:val="00D574B1"/>
    <w:rsid w:val="00DB107D"/>
    <w:rsid w:val="00DC0047"/>
    <w:rsid w:val="00DF536B"/>
    <w:rsid w:val="00E4314D"/>
    <w:rsid w:val="00E816AB"/>
    <w:rsid w:val="00E82BDA"/>
    <w:rsid w:val="00EE25EA"/>
    <w:rsid w:val="00EE6DCF"/>
    <w:rsid w:val="00EF77AD"/>
    <w:rsid w:val="00F30F9A"/>
    <w:rsid w:val="00F35D49"/>
    <w:rsid w:val="00F500B9"/>
    <w:rsid w:val="00F67527"/>
    <w:rsid w:val="00F75858"/>
    <w:rsid w:val="00F811BD"/>
    <w:rsid w:val="00F87B8D"/>
    <w:rsid w:val="00FE1B09"/>
    <w:rsid w:val="022502CD"/>
    <w:rsid w:val="08EE0B31"/>
    <w:rsid w:val="0FCB58D0"/>
    <w:rsid w:val="11427CB1"/>
    <w:rsid w:val="139E3D52"/>
    <w:rsid w:val="19076E1D"/>
    <w:rsid w:val="1EBD751D"/>
    <w:rsid w:val="20F116F3"/>
    <w:rsid w:val="2A90794D"/>
    <w:rsid w:val="2CE06978"/>
    <w:rsid w:val="2DBB222D"/>
    <w:rsid w:val="41772E18"/>
    <w:rsid w:val="54D0311C"/>
    <w:rsid w:val="57CC144D"/>
    <w:rsid w:val="62B20F12"/>
    <w:rsid w:val="6B6D2D65"/>
    <w:rsid w:val="77773399"/>
    <w:rsid w:val="7B4102B0"/>
    <w:rsid w:val="7FF35F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ocked="1"/>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lock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locked/>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99"/>
    <w:rPr>
      <w:rFonts w:cs="Times New Roman"/>
    </w:rPr>
  </w:style>
  <w:style w:type="character" w:customStyle="1" w:styleId="9">
    <w:name w:val="标题 2 Char"/>
    <w:basedOn w:val="7"/>
    <w:link w:val="2"/>
    <w:semiHidden/>
    <w:qFormat/>
    <w:locked/>
    <w:uiPriority w:val="99"/>
    <w:rPr>
      <w:rFonts w:ascii="Cambria" w:hAnsi="Cambria" w:eastAsia="宋体" w:cs="Times New Roman"/>
      <w:b/>
      <w:bCs/>
      <w:sz w:val="32"/>
      <w:szCs w:val="32"/>
    </w:rPr>
  </w:style>
  <w:style w:type="character" w:customStyle="1" w:styleId="10">
    <w:name w:val="页脚 Char"/>
    <w:basedOn w:val="7"/>
    <w:link w:val="3"/>
    <w:semiHidden/>
    <w:qFormat/>
    <w:locked/>
    <w:uiPriority w:val="99"/>
    <w:rPr>
      <w:rFonts w:cs="Calibri"/>
      <w:sz w:val="18"/>
      <w:szCs w:val="18"/>
    </w:rPr>
  </w:style>
  <w:style w:type="character" w:customStyle="1" w:styleId="11">
    <w:name w:val="页眉 Char"/>
    <w:basedOn w:val="7"/>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3074</Words>
  <Characters>3214</Characters>
  <Lines>1</Lines>
  <Paragraphs>3</Paragraphs>
  <TotalTime>1</TotalTime>
  <ScaleCrop>false</ScaleCrop>
  <LinksUpToDate>false</LinksUpToDate>
  <CharactersWithSpaces>3274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L</cp:lastModifiedBy>
  <dcterms:modified xsi:type="dcterms:W3CDTF">2025-06-30T09:02:54Z</dcterms:modified>
  <dc:title>附件2：2018年市级部门预算说明和预算公开表</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eyJoZGlkIjoiMjE2YWY5NzI1MThhZDljY2U3MzkwYzYyOTljZjg5ZmIiLCJ1c2VySWQiOiI0OTI4NTc5NzEifQ==</vt:lpwstr>
  </property>
  <property fmtid="{D5CDD505-2E9C-101B-9397-08002B2CF9AE}" pid="4" name="ICV">
    <vt:lpwstr>ACAD3C9DA2644471B27A69A6F3FB9383_12</vt:lpwstr>
  </property>
</Properties>
</file>